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</w:p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kern w:val="2"/>
          <w:lang w:eastAsia="pl-PL"/>
        </w:rPr>
        <w:t>Regulamin rekrutacji do projektu</w:t>
      </w:r>
    </w:p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i/>
          <w:kern w:val="2"/>
          <w:lang w:eastAsia="pl-PL"/>
        </w:rPr>
        <w:t>Przestrzeń do rozmowy - rozbudowany system konsultacji społecznych w planowaniu przestrzennym</w:t>
      </w:r>
    </w:p>
    <w:p w:rsidR="00FE4F15" w:rsidRPr="00A96E5F" w:rsidRDefault="00FE4F15" w:rsidP="00FE4F15">
      <w:pPr>
        <w:spacing w:after="120"/>
        <w:ind w:left="567" w:hanging="567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Postanowienia</w:t>
      </w:r>
      <w:r w:rsidRPr="00A96E5F">
        <w:rPr>
          <w:rFonts w:asciiTheme="minorHAnsi" w:eastAsia="Times New Roman" w:hAnsiTheme="minorHAnsi" w:cs="Arial"/>
          <w:b/>
          <w:lang w:eastAsia="pl-PL"/>
        </w:rPr>
        <w:t xml:space="preserve"> ogólne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Regulamin dotyc</w:t>
      </w:r>
      <w:r>
        <w:rPr>
          <w:rFonts w:asciiTheme="minorHAnsi" w:hAnsiTheme="minorHAnsi"/>
        </w:rPr>
        <w:t>zy rekrutacji gmin z województw: 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 xml:space="preserve">świętokrzyskiego i wielkopolskiego, </w:t>
      </w:r>
      <w:r w:rsidRPr="00A96E5F">
        <w:rPr>
          <w:rFonts w:asciiTheme="minorHAnsi" w:hAnsiTheme="minorHAnsi"/>
        </w:rPr>
        <w:t xml:space="preserve">które są </w:t>
      </w:r>
      <w:r w:rsidRPr="00A96E5F">
        <w:rPr>
          <w:rFonts w:asciiTheme="minorHAnsi" w:hAnsiTheme="minorHAnsi"/>
          <w:lang w:eastAsia="pl-PL"/>
        </w:rPr>
        <w:t>zainteresowane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udziałem w </w:t>
      </w:r>
      <w:r w:rsidRPr="00A96E5F">
        <w:rPr>
          <w:rFonts w:asciiTheme="minorHAnsi" w:hAnsiTheme="minorHAnsi"/>
        </w:rPr>
        <w:t xml:space="preserve">projekcie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</w:t>
      </w:r>
      <w:r>
        <w:rPr>
          <w:rFonts w:asciiTheme="minorHAnsi" w:eastAsia="Times New Roman" w:hAnsiTheme="minorHAnsi" w:cs="Arial"/>
          <w:i/>
          <w:kern w:val="2"/>
          <w:lang w:eastAsia="pl-PL"/>
        </w:rPr>
        <w:t>ystem konsultacji społecznych w 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planowaniu przestrzennym</w:t>
      </w:r>
      <w:r w:rsidRPr="00A96E5F">
        <w:rPr>
          <w:rFonts w:asciiTheme="minorHAnsi" w:eastAsia="Times New Roman" w:hAnsiTheme="minorHAnsi" w:cs="Arial"/>
          <w:kern w:val="2"/>
          <w:lang w:eastAsia="pl-PL"/>
        </w:rPr>
        <w:t>, co umożliwia im</w:t>
      </w:r>
      <w:r w:rsidRPr="00A96E5F">
        <w:rPr>
          <w:rFonts w:asciiTheme="minorHAnsi" w:hAnsiTheme="minorHAnsi"/>
        </w:rPr>
        <w:t xml:space="preserve"> otrzymanie wsparcia merytorycznego</w:t>
      </w:r>
      <w:r>
        <w:rPr>
          <w:rFonts w:asciiTheme="minorHAnsi" w:hAnsiTheme="minorHAnsi"/>
        </w:rPr>
        <w:t xml:space="preserve"> i </w:t>
      </w:r>
      <w:r w:rsidRPr="00A96E5F">
        <w:rPr>
          <w:rFonts w:asciiTheme="minorHAnsi" w:hAnsiTheme="minorHAnsi"/>
        </w:rPr>
        <w:t>grantów służących przeprowadzeniu pogłębionych konsultacji społecznych dokumentów dotyczących planowania przestrzennego.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Nabór i wsparcie gmin są prowadzone w ramach projektu </w:t>
      </w:r>
      <w:r w:rsidRPr="00A96E5F">
        <w:rPr>
          <w:rFonts w:asciiTheme="minorHAnsi" w:hAnsiTheme="minorHAnsi"/>
          <w:i/>
        </w:rPr>
        <w:t>Przestrzeń do rozmowy – rozbudowany system konsultacji społecznych w planowaniu przestrzennym</w:t>
      </w:r>
      <w:r w:rsidRPr="00A96E5F">
        <w:rPr>
          <w:rFonts w:asciiTheme="minorHAnsi" w:hAnsiTheme="minorHAnsi"/>
        </w:rPr>
        <w:t xml:space="preserve">, </w:t>
      </w:r>
      <w:r w:rsidRPr="00A96E5F">
        <w:rPr>
          <w:rFonts w:asciiTheme="minorHAnsi" w:eastAsia="Times New Roman" w:hAnsiTheme="minorHAnsi" w:cs="Arial"/>
          <w:lang w:eastAsia="pl-PL"/>
        </w:rPr>
        <w:t xml:space="preserve">współfinansowanego ze środków Unii Europejskiej w konkursie na wzmocnienie procesu konsultacji społecznych w obszarze planowania i zagospodarowania przestrzennego (nr </w:t>
      </w:r>
      <w:r w:rsidRPr="00A96E5F">
        <w:rPr>
          <w:rFonts w:asciiTheme="minorHAnsi" w:hAnsiTheme="minorHAnsi"/>
        </w:rPr>
        <w:t>POWR.02.19.00-IZ.00-00-003/18</w:t>
      </w:r>
      <w:r w:rsidRPr="00A96E5F">
        <w:rPr>
          <w:rFonts w:asciiTheme="minorHAnsi" w:eastAsia="Times New Roman" w:hAnsiTheme="minorHAnsi" w:cs="Arial"/>
          <w:lang w:eastAsia="pl-PL"/>
        </w:rPr>
        <w:t>).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Wsparcie zapewnia Partnerstwo w składzie: stowarzyszenie Centrum Rozwoju Inicjatyw Społecznych CRIS, stowarzyszenie Opolskie Centrum Wsparcia Inicjatyw Pozarządowych OCWIP oraz pracownia urbanistyczna Pro-Forma S.C.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Przez pogłębione konsultacje społeczne należy rozumieć konsultacje wykraczające poza wymogi nakładane na gminy na mocy przepisów ustawy z dnia 27 marca 2003 r. o planowaniu i zagospodarowaniu przestrzennym. W ramach procesu pogłębionych konsultacji społecznych każda z gmin wybranych do wsparcia zastosuje co najmniej trzy techniki konsultacji, w tym co najmniej jedną internetową.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Wsparcie </w:t>
      </w:r>
      <w:r w:rsidRPr="00A96E5F">
        <w:rPr>
          <w:rFonts w:asciiTheme="minorHAnsi" w:hAnsiTheme="minorHAnsi"/>
        </w:rPr>
        <w:t>merytoryczne oznacza pomoc specjalisty ds. konsultacji i urbanisty w przygotow</w:t>
      </w:r>
      <w:r w:rsidRPr="00A96E5F">
        <w:rPr>
          <w:rFonts w:asciiTheme="minorHAnsi" w:eastAsia="Times New Roman" w:hAnsiTheme="minorHAnsi" w:cs="Arial"/>
          <w:lang w:eastAsia="pl-PL"/>
        </w:rPr>
        <w:t xml:space="preserve">aniu i wdrażaniu indywidualnego planu konsultacji, a także szkolenia dla przedstawicieli urzędu gminy zatrudnionych na stanowiskach związanych </w:t>
      </w:r>
      <w:r w:rsidRPr="00A96E5F">
        <w:rPr>
          <w:rFonts w:asciiTheme="minorHAnsi" w:eastAsia="Times New Roman" w:hAnsiTheme="minorHAnsi" w:cs="Arial"/>
          <w:lang w:eastAsia="pl-PL"/>
        </w:rPr>
        <w:br/>
        <w:t>z planowaniem przestrzennym i/lub prowadzeniem procesu konsultacji.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Indywidualny Plan Konsultacji (IPK) oznacza dokument opracowany we współpracy </w:t>
      </w:r>
      <w:r>
        <w:rPr>
          <w:rFonts w:asciiTheme="minorHAnsi" w:eastAsia="Times New Roman" w:hAnsiTheme="minorHAnsi" w:cs="Arial"/>
          <w:lang w:eastAsia="pl-PL"/>
        </w:rPr>
        <w:t>Partnerstwa</w:t>
      </w:r>
      <w:r w:rsidRPr="00A96E5F">
        <w:rPr>
          <w:rFonts w:asciiTheme="minorHAnsi" w:eastAsia="Times New Roman" w:hAnsiTheme="minorHAnsi" w:cs="Arial"/>
          <w:lang w:eastAsia="pl-PL"/>
        </w:rPr>
        <w:t xml:space="preserve"> z gminą, obejmujący jeden lub dwa etapy pogłębionych konsultacji społecznych. Etap pierwszy obejmuje okres pomiędzy przyjęciem przez gminę uchwały o przystąpieniu do sporządzenia/zmiany planu miejscowego lub studium a przekazaniem sporządzonego projektu dokumentu planistycznego do opinii komisji urbanistyczno-architektonicznej. Etap drugi konsultacji obejmuje okres pomiędzy wyłożeniem planu lub studium do publicznego wglądu a przekazaniem uzgodnionego projektu planu lub studium radzie gminy do uchwalenia. Minimum 75% indywidualnych planów konsultacji będzie dotyczyło pierwszego etapu konsultacji.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Obowiązkowym elementem Indywidualnego Planu Konsultacji będzie </w:t>
      </w:r>
      <w:r w:rsidRPr="00A96E5F">
        <w:rPr>
          <w:rFonts w:asciiTheme="minorHAnsi" w:hAnsiTheme="minorHAnsi" w:cs="Arial"/>
        </w:rPr>
        <w:t xml:space="preserve">opis działań </w:t>
      </w:r>
      <w:r w:rsidRPr="00A96E5F">
        <w:rPr>
          <w:rFonts w:asciiTheme="minorHAnsi" w:eastAsia="Times New Roman" w:hAnsiTheme="minorHAnsi" w:cs="Arial"/>
          <w:lang w:eastAsia="pl-PL"/>
        </w:rPr>
        <w:t xml:space="preserve">ukierunkowanych na zapewnienie udziału w konsultacjach grup mieszkańców ze </w:t>
      </w:r>
      <w:r w:rsidRPr="00A96E5F">
        <w:rPr>
          <w:rFonts w:asciiTheme="minorHAnsi" w:eastAsia="Times New Roman" w:hAnsiTheme="minorHAnsi" w:cs="Arial"/>
          <w:lang w:eastAsia="pl-PL"/>
        </w:rPr>
        <w:lastRenderedPageBreak/>
        <w:t>szczególnymi potrzebami (m.in. seniorów, osób z różnymi niepełnosprawnościami, rodzin z małymi dziećmi).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Rekrutacja gmin ma charakter otwarty oraz jest prowadzona z zachowaniem zasady bezstronności i przejrzystości, wyłącznie w oparciu o niżej wymienione kryteria.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 gminami wybranymi do udziału w projekcie zostaną podpisane umowy na wsparcie merytoryczne i opracowanie indywidualnego planu konsultacji. Po opracowaniu IPK, w tym po określeniu przeznaczenia środków na prowadzenie pogłębionych konsultacji, zostaną podpisane umowy grantowe określające wysokość, przeznaczenie, zasady przekazywania i rozliczania grantów oraz zasady monitoringu rezultatu </w:t>
      </w:r>
      <w:r w:rsidRPr="00A96E5F">
        <w:rPr>
          <w:rFonts w:asciiTheme="minorHAnsi" w:eastAsia="Times New Roman" w:hAnsiTheme="minorHAnsi" w:cs="Arial"/>
          <w:i/>
          <w:lang w:eastAsia="pl-PL"/>
        </w:rPr>
        <w:t>Liczba jednostek terytorialnego, które przedłożyły do samorządu zatwierdzenia dokumenty dotyczące planowania przestrzennego wypracowane wspólnie z NGO.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Podmioty uprawnione do udziału w rekrutacji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rekrutacji mogą wziąć udział gminy z województwa </w:t>
      </w:r>
      <w:r>
        <w:rPr>
          <w:rFonts w:asciiTheme="minorHAnsi" w:hAnsiTheme="minorHAnsi"/>
        </w:rPr>
        <w:t>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>świętokrzyskiego i wielkopolskiego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całym procesie rekrutacj</w:t>
      </w:r>
      <w:r>
        <w:rPr>
          <w:rFonts w:asciiTheme="minorHAnsi" w:eastAsia="Times New Roman" w:hAnsiTheme="minorHAnsi" w:cs="Arial"/>
          <w:lang w:eastAsia="pl-PL"/>
        </w:rPr>
        <w:t>i planowany jest wybór 20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Warunkiem udziału w rekrutacji jest złożenie przez gminę zainteresowaną udziałem </w:t>
      </w:r>
      <w:r w:rsidRPr="00A96E5F">
        <w:rPr>
          <w:rFonts w:asciiTheme="minorHAnsi" w:eastAsia="Times New Roman" w:hAnsiTheme="minorHAnsi" w:cs="Arial"/>
          <w:lang w:eastAsia="pl-PL"/>
        </w:rPr>
        <w:br/>
        <w:t>w projekcie formularza zgłoszeniowego wraz z załącznikami.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rekrutacji mogą wziąć udział gminy korzystające z podobnego wsparcia w ramach projektu wybranego w pierwszym konkursie na wzmocnienie procesu konsultacji społecznych w obszarze planowania i zagospodarowania przestrzennego </w:t>
      </w:r>
      <w:r w:rsidRPr="00A96E5F">
        <w:rPr>
          <w:rFonts w:asciiTheme="minorHAnsi" w:eastAsia="Times New Roman" w:hAnsiTheme="minorHAnsi" w:cs="Arial"/>
          <w:lang w:eastAsia="pl-PL"/>
        </w:rPr>
        <w:br/>
        <w:t xml:space="preserve">(nr POWR.02.19.00-IZ.00-00-004/15), jednak łącznie w projekcie weźmie udział nie więcej niż 5 takich gmin. W takim przypadku gmina będzie zobowiązana wykorzystać </w:t>
      </w:r>
      <w:r w:rsidRPr="00A96E5F">
        <w:rPr>
          <w:rFonts w:asciiTheme="minorHAnsi" w:eastAsia="Times New Roman" w:hAnsiTheme="minorHAnsi" w:cs="Arial"/>
          <w:lang w:eastAsia="pl-PL"/>
        </w:rPr>
        <w:br/>
        <w:t>w planowanych do wsparcia konsultacjach zasoby nabyte przez nią ze środków pierwszego grantu – informacje na ten temat znajdą się w IPK.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Procedura rekrutacji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zainteresowana udziałem w projekcie wypełnia i składa formularz zgłoszeniowy wraz z załącznikami.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Obowiązkowymi załącznikami do wniosku są dokumenty (oryginały lub kopie) poświadczające spełnienie kryteriów dostępu b – f wymienionych niżej.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Wnioski z załącznikami należy złożyć w:</w:t>
      </w:r>
    </w:p>
    <w:p w:rsidR="00FE4F15" w:rsidRPr="00A96E5F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z woj. opolskiego – Opolskie Centrum Wsparcia Inicjatyw Pozarządowych OCWIP, ul. Damrota 4, m. 35-36, 45-064 Opole,</w:t>
      </w:r>
    </w:p>
    <w:p w:rsidR="00FE4F15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z woj. śląskiego </w:t>
      </w:r>
      <w:r>
        <w:rPr>
          <w:rFonts w:asciiTheme="minorHAnsi" w:eastAsia="Times New Roman" w:hAnsiTheme="minorHAnsi" w:cs="Arial"/>
          <w:lang w:eastAsia="pl-PL"/>
        </w:rPr>
        <w:t>–</w:t>
      </w:r>
      <w:r w:rsidRPr="00A96E5F">
        <w:rPr>
          <w:rFonts w:asciiTheme="minorHAnsi" w:eastAsia="Times New Roman" w:hAnsiTheme="minorHAnsi" w:cs="Arial"/>
          <w:lang w:eastAsia="pl-PL"/>
        </w:rPr>
        <w:t xml:space="preserve"> Centrum Rozwoju Inicjatyw Społecznych CRIS, ul. </w:t>
      </w:r>
      <w:r>
        <w:rPr>
          <w:rFonts w:asciiTheme="minorHAnsi" w:eastAsia="Times New Roman" w:hAnsiTheme="minorHAnsi" w:cs="Arial"/>
          <w:lang w:eastAsia="pl-PL"/>
        </w:rPr>
        <w:t>Rudzka 13C</w:t>
      </w:r>
      <w:r w:rsidRPr="00A96E5F">
        <w:rPr>
          <w:rFonts w:asciiTheme="minorHAnsi" w:eastAsia="Times New Roman" w:hAnsiTheme="minorHAnsi" w:cs="Arial"/>
          <w:lang w:eastAsia="pl-PL"/>
        </w:rPr>
        <w:t>, 44-200 Rybnik</w:t>
      </w:r>
      <w:r>
        <w:rPr>
          <w:rFonts w:asciiTheme="minorHAnsi" w:eastAsia="Times New Roman" w:hAnsiTheme="minorHAnsi" w:cs="Arial"/>
          <w:lang w:eastAsia="pl-PL"/>
        </w:rPr>
        <w:t>,</w:t>
      </w:r>
    </w:p>
    <w:p w:rsidR="00FE4F15" w:rsidRPr="00A96E5F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gminy z pozostałych województw – u jednego z powyższych stowarzyszeń</w:t>
      </w:r>
    </w:p>
    <w:p w:rsidR="00FE4F15" w:rsidRPr="00A96E5F" w:rsidRDefault="00FE4F15" w:rsidP="00FE4F15">
      <w:pPr>
        <w:pStyle w:val="Akapitzlist"/>
        <w:spacing w:after="120"/>
        <w:ind w:left="127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osobiście lub pocztą. Możliwe jest również przekazanie wniosku z załącznikami konsultantowi ds. procesów konsultacyjnych</w:t>
      </w:r>
      <w:r>
        <w:rPr>
          <w:rFonts w:asciiTheme="minorHAnsi" w:eastAsia="Times New Roman" w:hAnsiTheme="minorHAnsi" w:cs="Arial"/>
          <w:lang w:eastAsia="pl-PL"/>
        </w:rPr>
        <w:t>/opiekunowi gmin</w:t>
      </w:r>
      <w:r w:rsidRPr="00A96E5F">
        <w:rPr>
          <w:rFonts w:asciiTheme="minorHAnsi" w:eastAsia="Times New Roman" w:hAnsiTheme="minorHAnsi" w:cs="Arial"/>
          <w:lang w:eastAsia="pl-PL"/>
        </w:rPr>
        <w:t xml:space="preserve"> zatrudnionemu przez CRIS/OCWIP.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Nabór wniosków rozpoczyna się </w:t>
      </w:r>
      <w:r>
        <w:rPr>
          <w:rFonts w:asciiTheme="minorHAnsi" w:eastAsia="Times New Roman" w:hAnsiTheme="minorHAnsi" w:cs="Arial"/>
          <w:lang w:eastAsia="pl-PL"/>
        </w:rPr>
        <w:t>w I kwartale</w:t>
      </w:r>
      <w:r w:rsidRPr="00A96E5F">
        <w:rPr>
          <w:rFonts w:asciiTheme="minorHAnsi" w:eastAsia="Times New Roman" w:hAnsiTheme="minorHAnsi" w:cs="Arial"/>
          <w:lang w:eastAsia="pl-PL"/>
        </w:rPr>
        <w:t xml:space="preserve"> 2019 r. i trwa </w:t>
      </w:r>
      <w:r>
        <w:rPr>
          <w:rFonts w:asciiTheme="minorHAnsi" w:eastAsia="Times New Roman" w:hAnsiTheme="minorHAnsi" w:cs="Arial"/>
          <w:lang w:eastAsia="pl-PL"/>
        </w:rPr>
        <w:t xml:space="preserve">co najmniej </w:t>
      </w:r>
      <w:r w:rsidRPr="00A96E5F">
        <w:rPr>
          <w:rFonts w:asciiTheme="minorHAnsi" w:eastAsia="Times New Roman" w:hAnsiTheme="minorHAnsi" w:cs="Arial"/>
          <w:lang w:eastAsia="pl-PL"/>
        </w:rPr>
        <w:t xml:space="preserve">do </w:t>
      </w:r>
      <w:r>
        <w:rPr>
          <w:rFonts w:asciiTheme="minorHAnsi" w:eastAsia="Times New Roman" w:hAnsiTheme="minorHAnsi" w:cs="Arial"/>
          <w:lang w:eastAsia="pl-PL"/>
        </w:rPr>
        <w:t>30</w:t>
      </w:r>
      <w:r w:rsidRPr="00A96E5F">
        <w:rPr>
          <w:rFonts w:asciiTheme="minorHAnsi" w:eastAsia="Times New Roman" w:hAnsiTheme="minorHAnsi" w:cs="Arial"/>
          <w:lang w:eastAsia="pl-PL"/>
        </w:rPr>
        <w:t>.06.20</w:t>
      </w:r>
      <w:r>
        <w:rPr>
          <w:rFonts w:asciiTheme="minorHAnsi" w:eastAsia="Times New Roman" w:hAnsiTheme="minorHAnsi" w:cs="Arial"/>
          <w:lang w:eastAsia="pl-PL"/>
        </w:rPr>
        <w:t>21</w:t>
      </w:r>
      <w:r w:rsidRPr="00A96E5F">
        <w:rPr>
          <w:rFonts w:asciiTheme="minorHAnsi" w:eastAsia="Times New Roman" w:hAnsiTheme="minorHAnsi" w:cs="Arial"/>
          <w:lang w:eastAsia="pl-PL"/>
        </w:rPr>
        <w:t xml:space="preserve"> r. lub do momentu wyczerpania środków przeznaczonych na granty dla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Zgłoszenia gmin są rozpatrywane przez komisję konkursową. </w:t>
      </w:r>
      <w:r w:rsidRPr="00A96E5F">
        <w:rPr>
          <w:rFonts w:asciiTheme="minorHAnsi" w:hAnsiTheme="minorHAnsi"/>
        </w:rPr>
        <w:t xml:space="preserve">W jej skład wejdą przedstawiciele członków Partnerstwa realizującego </w:t>
      </w:r>
      <w:r>
        <w:rPr>
          <w:rFonts w:asciiTheme="minorHAnsi" w:hAnsiTheme="minorHAnsi"/>
        </w:rPr>
        <w:t xml:space="preserve">projekt, w tym: </w:t>
      </w:r>
      <w:r w:rsidRPr="00A96E5F">
        <w:rPr>
          <w:rFonts w:asciiTheme="minorHAnsi" w:hAnsiTheme="minorHAnsi"/>
        </w:rPr>
        <w:t>konsultanci ds. procesów konsultacyjnych/opiekunowie gmin, urbaniści, koordynator projektu.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Pierwsze posiedzenie komisji konkursowej odbędzie się nie później niż 31.03.2019 r. Kolejne posiedzenia komisji będą odbywać się cyklicznie raz na miesiąc do momentu wyczerpania środków przeznaczonych na granty dla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Komisja konkursowa może zebrać się również w sytuacji, jeśli pojawią się środki możliwe do przeznaczenia na granty dla gmin (np. z oszczędności).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 ramach oceny komisja konkursowa weryfikuje, czy wniosek spełnia kryteria formalne i kryteria merytoryczne.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Wniosek, który nie spełnia któregokolwiek z kryteriów formalnych nie podlega ocenie pod kątem spełnienia kryteriów merytorycznych. 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Ocena merytoryczna komisji konkursowej ma charakter punktowy. Na podstawie przyznanych punktów tworzona jest po każdym posiedzeniu komisji konkursowej osobna dla każdego województwa lista rankingowa z wynikami rekrutacji.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Listy rankingowe gmin przyjętych do projektu są zamieszczane na stronie CRIS </w:t>
      </w:r>
      <w:r w:rsidRPr="00A96E5F">
        <w:rPr>
          <w:rFonts w:asciiTheme="minorHAnsi" w:eastAsia="Times New Roman" w:hAnsiTheme="minorHAnsi" w:cs="Arial"/>
          <w:lang w:eastAsia="pl-PL"/>
        </w:rPr>
        <w:br/>
        <w:t>(w przypadki gmin z woj. śląskiego</w:t>
      </w:r>
      <w:r>
        <w:rPr>
          <w:rFonts w:asciiTheme="minorHAnsi" w:eastAsia="Times New Roman" w:hAnsiTheme="minorHAnsi" w:cs="Arial"/>
          <w:lang w:eastAsia="pl-PL"/>
        </w:rPr>
        <w:t xml:space="preserve"> i pozostałych zrekrutowanych przez CRIS</w:t>
      </w:r>
      <w:r w:rsidRPr="00A96E5F">
        <w:rPr>
          <w:rFonts w:asciiTheme="minorHAnsi" w:eastAsia="Times New Roman" w:hAnsiTheme="minorHAnsi" w:cs="Arial"/>
          <w:lang w:eastAsia="pl-PL"/>
        </w:rPr>
        <w:t xml:space="preserve">) oraz Opolskiego Centrum Rozwoju Wspierania Inicjatyw Pozarządowych </w:t>
      </w:r>
      <w:r>
        <w:rPr>
          <w:rFonts w:asciiTheme="minorHAnsi" w:eastAsia="Times New Roman" w:hAnsiTheme="minorHAnsi" w:cs="Arial"/>
          <w:lang w:eastAsia="pl-PL"/>
        </w:rPr>
        <w:t>OCWIP (w </w:t>
      </w:r>
      <w:r w:rsidRPr="00A96E5F">
        <w:rPr>
          <w:rFonts w:asciiTheme="minorHAnsi" w:eastAsia="Times New Roman" w:hAnsiTheme="minorHAnsi" w:cs="Arial"/>
          <w:lang w:eastAsia="pl-PL"/>
        </w:rPr>
        <w:t>przypadku gmin z woj. opolskiego</w:t>
      </w:r>
      <w:r w:rsidRPr="00FA32C9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i pozostałych zrekrutowanych przez OCWIP</w:t>
      </w:r>
      <w:r w:rsidRPr="00A96E5F">
        <w:rPr>
          <w:rFonts w:asciiTheme="minorHAnsi" w:eastAsia="Times New Roman" w:hAnsiTheme="minorHAnsi" w:cs="Arial"/>
          <w:lang w:eastAsia="pl-PL"/>
        </w:rPr>
        <w:t>). Każda gmina uczestnicząca w rekrutacji otrzymuje również informację o wynikach pocztą elektroniczną na adres wskazany w formularzu zgłoszeniowym.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Od decyzji komisji konkursowej przysługuje odwołanie. Należy złożyć je w formie pisemnej wraz z uzasadnieniem w terminie do 5 dni roboczych od dnia opublikowania wyników. Odwołanie podlega rozpatrzeniu przez komisję konkursową w terminie 7 dni roboczych. Wynik odwołania jest niezwłocznie przekazany gminie. Od negatywnej decyzji nie przysługują gminie dalsze środki odwoławcze. 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razie rezygnacji zakwalifikowanej do projektu gminy, komisja konkursowa ma prawo zaprosić do udziału inną gminę z tej samej listy rankingowej.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b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Kryteri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a </w:t>
      </w:r>
      <w:r w:rsidRPr="00A96E5F">
        <w:rPr>
          <w:rFonts w:asciiTheme="minorHAnsi" w:eastAsia="Times New Roman" w:hAnsiTheme="minorHAnsi" w:cs="Arial"/>
          <w:b/>
          <w:lang w:eastAsia="pl-PL"/>
        </w:rPr>
        <w:t>wybor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u </w:t>
      </w:r>
      <w:r w:rsidRPr="00A96E5F">
        <w:rPr>
          <w:rFonts w:asciiTheme="minorHAnsi" w:hAnsiTheme="minorHAnsi"/>
          <w:b/>
          <w:lang w:eastAsia="pl-PL"/>
        </w:rPr>
        <w:t>grantobiorcó</w:t>
      </w:r>
      <w:r w:rsidRPr="00A96E5F">
        <w:rPr>
          <w:rFonts w:asciiTheme="minorHAnsi" w:eastAsia="Times New Roman" w:hAnsiTheme="minorHAnsi" w:cs="Arial"/>
          <w:b/>
          <w:lang w:eastAsia="pl-PL"/>
        </w:rPr>
        <w:t>w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Kryteria dostępu (ocena „gmina spełnia – nie spełnia”):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 xml:space="preserve">gmina z województwa </w:t>
      </w:r>
      <w:r>
        <w:rPr>
          <w:rFonts w:asciiTheme="minorHAnsi" w:hAnsiTheme="minorHAnsi"/>
        </w:rPr>
        <w:t>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>świętokrzyskiego i wielkopolskiego</w:t>
      </w:r>
      <w:r w:rsidRPr="00A96E5F">
        <w:rPr>
          <w:rFonts w:asciiTheme="minorHAnsi" w:eastAsia="Times New Roman" w:hAnsiTheme="minorHAnsi" w:cs="Arial"/>
          <w:lang w:eastAsia="pl-PL"/>
        </w:rPr>
        <w:t>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>posiadanie uchwały rady gminy o przystąpieniu do sporządzania MPZP lub SUiKZP (lub ich zmian) lub podpisane zobowiązanie, że taka uchwała zostanie przyjęta w ciągu 3 miesięcy od czasu złożenia przez władze gminy deklaracji uczestnictwa w projekcie;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deklaracja przeprowadzenia pogłębionych konsultacji planowania przestrzennego przy wsparciu grantu, którego cele, sposób wykorzystania, wysokość i strukturę kosztów wypracuje gmina w ramach Indywidualnego Planu Konsultacji przy wsparciu </w:t>
      </w:r>
      <w:r>
        <w:rPr>
          <w:rFonts w:asciiTheme="minorHAnsi" w:hAnsiTheme="minorHAnsi"/>
        </w:rPr>
        <w:t>Partnerstwa</w:t>
      </w:r>
      <w:r w:rsidRPr="00A96E5F">
        <w:rPr>
          <w:rFonts w:asciiTheme="minorHAnsi" w:hAnsiTheme="minorHAnsi"/>
        </w:rPr>
        <w:t>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deklaracja oddelegowania do udziału w projekcie minimum dwóch pracowników, których zakres obowiązków jest </w:t>
      </w:r>
      <w:r w:rsidRPr="00A96E5F">
        <w:rPr>
          <w:rFonts w:asciiTheme="minorHAnsi" w:eastAsia="Times New Roman" w:hAnsiTheme="minorHAnsi" w:cs="Arial"/>
          <w:lang w:eastAsia="pl-PL"/>
        </w:rPr>
        <w:t>związany z planowaniem przestrzennym i/lub prowadzeniem procesu konsultacji;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zgoda gminy na poddanie się monitoringowi wskaźnika rezultatu: </w:t>
      </w:r>
      <w:r w:rsidRPr="00A96E5F">
        <w:rPr>
          <w:rFonts w:asciiTheme="minorHAnsi" w:hAnsiTheme="minorHAnsi"/>
          <w:i/>
        </w:rPr>
        <w:t xml:space="preserve">Liczba JST, które przedłożyły do zatwierdzenia dokumenty dotyczące planowania przestrzennego wypracowane wspólnie z NGO </w:t>
      </w:r>
      <w:r w:rsidRPr="00A96E5F">
        <w:rPr>
          <w:rFonts w:asciiTheme="minorHAnsi" w:hAnsiTheme="minorHAnsi"/>
        </w:rPr>
        <w:t>do końca 2023 r.;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>pisemne deklaracja nie ubiegania się o inny grant w ramach tego samego konkursu (nr POWR.02.19.00-IZ.00-00-003/18);</w:t>
      </w:r>
    </w:p>
    <w:p w:rsidR="00FE4F15" w:rsidRPr="00A96E5F" w:rsidRDefault="00FE4F15" w:rsidP="00FE4F15">
      <w:pPr>
        <w:spacing w:after="120"/>
        <w:ind w:left="1134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Aby starać się o grant gmina musi spełnić wszystkie powyższe kryteria.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Kryteria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50"/>
        <w:gridCol w:w="3795"/>
        <w:gridCol w:w="1701"/>
      </w:tblGrid>
      <w:tr w:rsidR="00FE4F15" w:rsidRPr="00A96E5F" w:rsidTr="00067BD3">
        <w:trPr>
          <w:trHeight w:val="438"/>
        </w:trPr>
        <w:tc>
          <w:tcPr>
            <w:tcW w:w="558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Kryterium merytoryczne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Sposób weryfikacji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punktów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stopień pokrycia obszaru gminy dokumentami planistycznymi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poniżej 40%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40-60%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61-80%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powyżej 80%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udział  projektów planów sporządzanych powyżej 3 lat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większy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ale więcej niż 15% planów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i mniej niż 15% planów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rPr>
          <w:trHeight w:val="767"/>
        </w:trPr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 xml:space="preserve">obecność na liście miast średnich zgodnie ze Strategią na 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Rzecz Odpowiedzialnego Rozwoju – Pakiet dla miast średnich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gmina obecna na liście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rPr>
          <w:trHeight w:val="767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gmina nieobecna na liście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pracowników oddelegowanych do projektu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i więcej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</w:tbl>
    <w:p w:rsidR="00FE4F15" w:rsidRPr="00A96E5F" w:rsidRDefault="00FE4F15" w:rsidP="00FE4F15">
      <w:pPr>
        <w:spacing w:after="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9"/>
        </w:numPr>
        <w:spacing w:after="120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Przeznaczenie grantów i sposób określenia ich wysokości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Gminy zakwalifikowane do udziału w projekcie mogą otrzymać grant wyłącznie na realizację procesu pogłębionych konsultacji społecznych dokumentów planistycznych, tj. na realizację I lub II etapu konsultacji dokumentów planistycznych gdzie:</w:t>
      </w:r>
    </w:p>
    <w:p w:rsidR="00FE4F15" w:rsidRDefault="00FE4F15" w:rsidP="00FE4F15">
      <w:pPr>
        <w:pStyle w:val="Akapitzlist"/>
        <w:numPr>
          <w:ilvl w:val="0"/>
          <w:numId w:val="15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>I etap konsultacji obejmuje okres pomiędzy przyjęciem przez gminę uchwały o przystąpieniu do sporządzenia/ zmiany planu miejscowego lub studium a przekazaniem sporządzonego projektu dokumentu planistycznego do opinii komisji urbanistyczno-architektonicznej,</w:t>
      </w:r>
    </w:p>
    <w:p w:rsidR="00FE4F15" w:rsidRPr="009E69E1" w:rsidRDefault="00FE4F15" w:rsidP="00FE4F15">
      <w:pPr>
        <w:pStyle w:val="Akapitzlist"/>
        <w:numPr>
          <w:ilvl w:val="0"/>
          <w:numId w:val="15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9E69E1">
        <w:rPr>
          <w:rFonts w:asciiTheme="minorHAnsi" w:hAnsiTheme="minorHAnsi"/>
        </w:rPr>
        <w:t>II etap konsultacji obejmuje okres pomiędzy wyłożeniem planu lub studium do publicznego wglądu a przekazaniem uzgodnionego planu lub studium radzie gminy do uchwalenia.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</w:t>
      </w:r>
      <w:r w:rsidRPr="00A96E5F">
        <w:rPr>
          <w:rFonts w:asciiTheme="minorHAnsi" w:eastAsia="Times New Roman" w:hAnsiTheme="minorHAnsi"/>
          <w:lang w:eastAsia="pl-PL"/>
        </w:rPr>
        <w:t xml:space="preserve"> nie mogą być przeznaczone na </w:t>
      </w:r>
      <w:r w:rsidRPr="00A96E5F">
        <w:rPr>
          <w:rFonts w:asciiTheme="minorHAnsi" w:hAnsiTheme="minorHAnsi"/>
        </w:rPr>
        <w:t>finansowanie kosztów sporządzenia dokumentu planistycznego.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Średnia wartość przyznanego grantu dla jednej gminy to 20 000,00 zł.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Co najmniej 75% gmin zakwalifikowanych do udziału w projekcie będzie realizować I etap konsultacji społecznych dokumentów planistycznych.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Podstawą do określenia zakresu i wysokości grantu dla każdej z zakwalifikowanych do projektu gmin będzie Indywidualny Plan Konsultacji, o którym mowa w rozdziale 1 pkt 1.6 niniejszego Regulaminu.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Indywidualny Plan Konsultacji będzie opracowywany przez każdą gminę, która podpisze deklaracje uczestnictwa w projekcie we współpracy z przedstawicielami </w:t>
      </w:r>
      <w:r>
        <w:rPr>
          <w:rFonts w:asciiTheme="minorHAnsi" w:eastAsia="Times New Roman" w:hAnsiTheme="minorHAnsi"/>
          <w:lang w:eastAsia="pl-PL"/>
        </w:rPr>
        <w:t>Partnerstwa</w:t>
      </w:r>
      <w:r w:rsidRPr="00A96E5F">
        <w:rPr>
          <w:rFonts w:asciiTheme="minorHAnsi" w:eastAsia="Times New Roman" w:hAnsiTheme="minorHAnsi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Indywidualny Plan Konsultacji musi zawierać harmonogram rzeczowo-finansowy, określający poszczególne etapy/zadania zaplanowane do zrealizowania w danym okresie oraz ich orientacyjny koszt, bez wskazywania konkretnych wydatków planowanych do poniesienia.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Zespół opracowujący Indywidualny Plan Konsultacji, w tym harmonogram rzeczowo-finansowy zobligowany jest do szacowania kosztów w sposób oszczędny, tzn. niezawyżony w stosunku do średnich cen i stawek rynkowych i spełniających wymogi uzyskiwania najlepszych efektów z danych rezultatów oraz adekwatny do wybranych technik konsultacyjnych. Do oceny kwalifikowalności wydatków </w:t>
      </w:r>
      <w:r w:rsidRPr="00A96E5F">
        <w:rPr>
          <w:rFonts w:asciiTheme="minorHAnsi" w:eastAsia="Times New Roman" w:hAnsiTheme="minorHAnsi" w:cs="Arial"/>
          <w:lang w:eastAsia="pl-PL"/>
        </w:rPr>
        <w:t xml:space="preserve">nie będą brane pod uwagę </w:t>
      </w:r>
      <w:r w:rsidRPr="00A96E5F">
        <w:rPr>
          <w:rFonts w:asciiTheme="minorHAnsi" w:eastAsia="Times New Roman" w:hAnsiTheme="minorHAnsi" w:cs="Arial"/>
          <w:i/>
          <w:lang w:eastAsia="pl-PL"/>
        </w:rPr>
        <w:t xml:space="preserve">Wytyczne w zakresie kwalifikowalności wydatków w ramach Europejskiego </w:t>
      </w:r>
      <w:r w:rsidRPr="00A96E5F">
        <w:rPr>
          <w:rFonts w:asciiTheme="minorHAnsi" w:eastAsia="Times New Roman" w:hAnsiTheme="minorHAnsi" w:cs="Arial"/>
          <w:i/>
          <w:lang w:eastAsia="pl-PL"/>
        </w:rPr>
        <w:lastRenderedPageBreak/>
        <w:t>Funduszu Rozwoju Regionalnego, Europejskiego Funduszu Społecznego oraz Funduszu Spójności na lata 2014 – 2020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Opracowany Indywidualny Plan Konsultacji będzie podlegał weryfikacji i zatwierdzeniu przez zespół powołany przez Grantodawcę </w:t>
      </w:r>
      <w:r>
        <w:rPr>
          <w:rFonts w:asciiTheme="minorHAnsi" w:eastAsia="Times New Roman" w:hAnsiTheme="minorHAnsi"/>
          <w:lang w:eastAsia="pl-PL"/>
        </w:rPr>
        <w:t xml:space="preserve">(CRIS) </w:t>
      </w:r>
      <w:r w:rsidRPr="00A96E5F">
        <w:rPr>
          <w:rFonts w:asciiTheme="minorHAnsi" w:eastAsia="Times New Roman" w:hAnsiTheme="minorHAnsi"/>
          <w:lang w:eastAsia="pl-PL"/>
        </w:rPr>
        <w:t>składający się ze specjalistów ds. procesu konsultacji, urbanistów i koordynatora, którzy zdecydują o ostatecznej wysokości przyznanego gminie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hAnsiTheme="minorHAnsi"/>
        </w:rPr>
        <w:t>Grantodawca bierze odpowiedzialność za zasadność oraz efektywność finansową określonych w grancie wydatków.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Wysokość grantu będzie zależna od: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liczby i charakteru wybranych do wdrożenia technik konsultacji społecznych, w tym takich, które zapewniają udział w konsultacjach jak najszerszej grupie odbiorców m.in. młodzieży, seniorom, os. z niepełnosprawnościami itp.,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wielkości gminy oraz obszaru wytypowanego do realizacji procedury planistycznej,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liczby potencjalnych uczestników procesu konsultacji społecznych (liczba mieszkańców, zróżnicowane grupy interesariuszy),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posiadanego przez gminę potencjału/zasobów do prowadzenia pogłębionych procesów konsultacji (m.in. zasoby rzeczowe, techniczne jak dostępne sale spotkań, sprzęt audiowizualny, interaktywne platformy komunikacji z mieszkańcami, wewnętrzne dokumenty precyzujące procesy konsultacji; zasoby ludzkie: moderatorzy spotkań konsultacyjnych, zespół planistów, osoba odpowiedzialna za proces konsultacji itd.),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zaproponowanego harmonogramu procesu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7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Przeanalizowany i zatwierdzony Indywidualny Plan Konsultacji będzie stanowił załącznik do umowy o powierzeniu grantu zawartej z gminą.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Tryb wypłacania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lang w:eastAsia="pl-PL"/>
        </w:rPr>
        <w:t>Warunkami przekazania gminie grantu na prowadzenie pogłębionych konsultacji są:</w:t>
      </w:r>
    </w:p>
    <w:p w:rsidR="00FE4F15" w:rsidRPr="00A96E5F" w:rsidRDefault="00FE4F15" w:rsidP="00FE4F15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opracowanie Indywidualnego Planu Konsultacji we współpracy z opiekunem gminy i urbanistą z ramienia </w:t>
      </w:r>
      <w:r>
        <w:rPr>
          <w:rFonts w:asciiTheme="minorHAnsi" w:hAnsiTheme="minorHAnsi"/>
          <w:lang w:eastAsia="pl-PL"/>
        </w:rPr>
        <w:t>Partnerstwa</w:t>
      </w:r>
      <w:r w:rsidRPr="00A96E5F">
        <w:rPr>
          <w:rFonts w:asciiTheme="minorHAnsi" w:hAnsiTheme="minorHAnsi"/>
          <w:lang w:eastAsia="pl-PL"/>
        </w:rPr>
        <w:t xml:space="preserve"> oraz</w:t>
      </w:r>
    </w:p>
    <w:p w:rsidR="00FE4F15" w:rsidRPr="00A96E5F" w:rsidRDefault="00FE4F15" w:rsidP="00FE4F15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podpisanie umowy grantowej</w:t>
      </w:r>
      <w:r w:rsidRPr="00A96E5F">
        <w:rPr>
          <w:rFonts w:asciiTheme="minorHAnsi" w:eastAsia="Times New Roman" w:hAnsiTheme="minorHAnsi" w:cs="Arial"/>
          <w:lang w:eastAsia="pl-PL"/>
        </w:rPr>
        <w:t>, określającej wysokość, przeznaczenie, zasady przekazywania i rozliczania grantu</w:t>
      </w:r>
      <w:r w:rsidRPr="00A96E5F">
        <w:rPr>
          <w:rFonts w:asciiTheme="minorHAnsi" w:hAnsiTheme="minorHAnsi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Granty będą przekazywane gminom zgodnie z postanowieniami umowy grantowej</w:t>
      </w:r>
      <w:r w:rsidRPr="00A96E5F">
        <w:rPr>
          <w:rFonts w:asciiTheme="minorHAnsi" w:hAnsiTheme="minorHAnsi"/>
          <w:color w:val="000000"/>
        </w:rPr>
        <w:t xml:space="preserve">. W zależności od ustaleń z gminą </w:t>
      </w:r>
      <w:r w:rsidRPr="00A96E5F">
        <w:rPr>
          <w:rFonts w:asciiTheme="minorHAnsi" w:hAnsiTheme="minorHAnsi"/>
          <w:lang w:eastAsia="pl-PL"/>
        </w:rPr>
        <w:t>umowa grantowa</w:t>
      </w:r>
      <w:r w:rsidRPr="00A96E5F">
        <w:rPr>
          <w:rFonts w:asciiTheme="minorHAnsi" w:hAnsiTheme="minorHAnsi"/>
          <w:color w:val="000000"/>
        </w:rPr>
        <w:t xml:space="preserve"> może wskazać jedną z dwóch form przekazania grantu:</w:t>
      </w:r>
    </w:p>
    <w:p w:rsidR="00FE4F15" w:rsidRPr="00A96E5F" w:rsidRDefault="00FE4F15" w:rsidP="00FE4F15">
      <w:pPr>
        <w:pStyle w:val="Akapitzlist"/>
        <w:numPr>
          <w:ilvl w:val="2"/>
          <w:numId w:val="5"/>
        </w:numPr>
        <w:spacing w:after="120"/>
        <w:ind w:left="1418" w:hanging="284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jednorazowa płatność z góry,</w:t>
      </w:r>
    </w:p>
    <w:p w:rsidR="00FE4F15" w:rsidRPr="00A96E5F" w:rsidRDefault="00FE4F15" w:rsidP="00FE4F15">
      <w:pPr>
        <w:pStyle w:val="Akapitzlist"/>
        <w:numPr>
          <w:ilvl w:val="2"/>
          <w:numId w:val="5"/>
        </w:numPr>
        <w:spacing w:after="120"/>
        <w:ind w:left="1418" w:hanging="28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płatność w transzach.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W przypadku przekazywania grantu w transzach, kolejne transze będą wypłacane zgodnie z harmonogramem rzeczowo-finansowym stanowiącym załącznik do umowy grantowej.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lastRenderedPageBreak/>
        <w:t>Harmonogram rzeczowo-finansowy może być aktualizowany przez gminę. Nie wymaga to formy aneksu do umowy grantowej. W celu aktualizacji harmonogramu gmina przedstawia pisemną (</w:t>
      </w:r>
      <w:r w:rsidRPr="00A96E5F">
        <w:rPr>
          <w:rStyle w:val="fontstyle01"/>
          <w:rFonts w:asciiTheme="minorHAnsi" w:hAnsiTheme="minorHAnsi"/>
        </w:rPr>
        <w:t>skan pisma wysłany mailem, oryginał pocztą</w:t>
      </w:r>
      <w:r w:rsidRPr="00A96E5F">
        <w:rPr>
          <w:rFonts w:asciiTheme="minorHAnsi" w:hAnsiTheme="minorHAnsi"/>
          <w:lang w:eastAsia="pl-PL"/>
        </w:rPr>
        <w:t xml:space="preserve">) propozycję zmiany </w:t>
      </w:r>
      <w:r>
        <w:rPr>
          <w:rFonts w:asciiTheme="minorHAnsi" w:hAnsiTheme="minorHAnsi"/>
          <w:lang w:eastAsia="pl-PL"/>
        </w:rPr>
        <w:t>G</w:t>
      </w:r>
      <w:r w:rsidRPr="00A96E5F">
        <w:rPr>
          <w:rFonts w:asciiTheme="minorHAnsi" w:hAnsiTheme="minorHAnsi"/>
          <w:lang w:eastAsia="pl-PL"/>
        </w:rPr>
        <w:t>rantodawcy (tj. CRIS), który ustosunkowuje się do niej w ciągu 5 dni roboczych.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Przekazanie drugiej i kolejnych transzy grantu będzie możliwe po zrealizowaniu co najmniej 75% działań zaplanowanych w IPK. W tym celu gmina przedstawi sprawozdanie z dotąd przeprowadzonych działań finansowanych z dotychczas otrzymanych środków.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 lub pierwsza transza grantu może być przekazana gminie najwcześniej bezpośrednio przed rozpoczęciem faktycznego wdrażania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 będzie przekazywany na rachunek bankowy wskazany przez gminę w umowy grantowej.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Wypłata grantu lub transzy grantu będzie uzależniona od terminowego przekazywania płatności ze strony Instytucji Zarządzającej Programem Operacyjnym Wiedza Edukacja Rozwój, tj. Ministerstwa </w:t>
      </w:r>
      <w:r>
        <w:rPr>
          <w:rFonts w:asciiTheme="minorHAnsi" w:hAnsiTheme="minorHAnsi"/>
          <w:lang w:eastAsia="pl-PL"/>
        </w:rPr>
        <w:t>Funduszy</w:t>
      </w:r>
      <w:r w:rsidRPr="00A96E5F">
        <w:rPr>
          <w:rFonts w:asciiTheme="minorHAnsi" w:hAnsiTheme="minorHAnsi"/>
          <w:lang w:eastAsia="pl-PL"/>
        </w:rPr>
        <w:t xml:space="preserve"> i </w:t>
      </w:r>
      <w:r>
        <w:rPr>
          <w:rFonts w:asciiTheme="minorHAnsi" w:hAnsiTheme="minorHAnsi"/>
          <w:lang w:eastAsia="pl-PL"/>
        </w:rPr>
        <w:t>Polityki</w:t>
      </w:r>
      <w:r w:rsidRPr="00A96E5F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Regionalnej </w:t>
      </w:r>
      <w:r w:rsidRPr="00A96E5F">
        <w:rPr>
          <w:rFonts w:asciiTheme="minorHAnsi" w:hAnsiTheme="minorHAnsi"/>
          <w:lang w:eastAsia="pl-PL"/>
        </w:rPr>
        <w:t xml:space="preserve">na rzecz </w:t>
      </w:r>
      <w:r>
        <w:rPr>
          <w:rFonts w:asciiTheme="minorHAnsi" w:hAnsiTheme="minorHAnsi"/>
          <w:lang w:eastAsia="pl-PL"/>
        </w:rPr>
        <w:t>Partnerstwa</w:t>
      </w:r>
      <w:r w:rsidRPr="00A96E5F">
        <w:rPr>
          <w:rFonts w:asciiTheme="minorHAnsi" w:hAnsiTheme="minorHAnsi"/>
          <w:lang w:eastAsia="pl-PL"/>
        </w:rPr>
        <w:t>.</w:t>
      </w:r>
    </w:p>
    <w:p w:rsidR="00FE4F15" w:rsidRPr="00A96E5F" w:rsidRDefault="00FE4F15" w:rsidP="00FE4F15">
      <w:pPr>
        <w:spacing w:after="120"/>
        <w:rPr>
          <w:rFonts w:asciiTheme="minorHAnsi" w:hAnsiTheme="minorHAnsi" w:cs="Aria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Zabezpieczeniu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Gmina jest zobowiązana zwrócić całość lub część grantu w przypadku wykorzystania go niezgodnie z postanowieniami </w:t>
      </w:r>
      <w:r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Style w:val="fontstyle01"/>
          <w:rFonts w:asciiTheme="minorHAnsi" w:hAnsiTheme="minorHAnsi"/>
        </w:rPr>
        <w:t>, w szczególności w razie: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>przeznaczenia grantu na inne cele, niż związane z realizacją indywidualnego planu konsultacji,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przeprowadzenia bez uzgodnień z </w:t>
      </w:r>
      <w:r>
        <w:rPr>
          <w:rFonts w:asciiTheme="minorHAnsi" w:hAnsiTheme="minorHAnsi"/>
          <w:lang w:eastAsia="pl-PL"/>
        </w:rPr>
        <w:t>G</w:t>
      </w:r>
      <w:r w:rsidRPr="00A96E5F">
        <w:rPr>
          <w:rFonts w:asciiTheme="minorHAnsi" w:hAnsiTheme="minorHAnsi"/>
          <w:lang w:eastAsia="pl-PL"/>
        </w:rPr>
        <w:t>rantodawcą</w:t>
      </w:r>
      <w:r w:rsidRPr="00A96E5F">
        <w:rPr>
          <w:rStyle w:val="fontstyle01"/>
          <w:rFonts w:asciiTheme="minorHAnsi" w:hAnsiTheme="minorHAnsi"/>
        </w:rPr>
        <w:t xml:space="preserve"> konsultacji z wykorzystaniem innych technik, niż określone w Indywidualnym Planie Konsultacji,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pominięcia działań zapewniających udział w konsultacjach mieszkańców ze szczególnymi potrzebami (m.in. seniorów, osób z różnymi niepełnosprawnościami, rodzin z małymi dziećmi).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W przypadku konieczności zwrotu przez gminę całości lub części grantu, należy go dokonać w ciągu 10 dni roboczych od dnia otrzymania wezwania drogą pisemną (skan pisma wysyłany mailem, oryginał pocztą) na wskazany przez </w:t>
      </w:r>
      <w:r>
        <w:rPr>
          <w:rStyle w:val="fontstyle01"/>
          <w:rFonts w:asciiTheme="minorHAnsi" w:hAnsiTheme="minorHAnsi"/>
        </w:rPr>
        <w:t>G</w:t>
      </w:r>
      <w:r w:rsidRPr="00A96E5F">
        <w:rPr>
          <w:rStyle w:val="fontstyle01"/>
          <w:rFonts w:asciiTheme="minorHAnsi" w:hAnsiTheme="minorHAnsi"/>
        </w:rPr>
        <w:t>rantodawcę rachunek bankowy.</w:t>
      </w:r>
    </w:p>
    <w:p w:rsidR="00FE4F15" w:rsidRPr="00A96E5F" w:rsidRDefault="00FE4F15" w:rsidP="00FE4F15">
      <w:pPr>
        <w:spacing w:after="120"/>
        <w:rPr>
          <w:rFonts w:asciiTheme="minorHAnsi" w:hAnsiTheme="minorHAnsi"/>
          <w:b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Zmiana przeznaczenia grantów oraz zmiana umowy o powierzenie grantu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Zmiany założeń Indywidualnego Planu Konsultacji, w tym harmonogramu rzeczowo-finansowego są możliwe tylko w uzasadnionych przypadkach i po wcześniejszych konsultacjach z opiekunem gminy oraz zatwierdzeniu proponowanych zmian przez </w:t>
      </w:r>
      <w:r>
        <w:rPr>
          <w:rStyle w:val="fontstyle01"/>
          <w:rFonts w:asciiTheme="minorHAnsi" w:hAnsiTheme="minorHAnsi"/>
        </w:rPr>
        <w:t>Gr</w:t>
      </w:r>
      <w:r w:rsidRPr="00A96E5F">
        <w:rPr>
          <w:rStyle w:val="fontstyle01"/>
          <w:rFonts w:asciiTheme="minorHAnsi" w:hAnsiTheme="minorHAnsi"/>
        </w:rPr>
        <w:t>antodawcę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Propozycja wprowadzenia zmian powinna być zgłaszana droga elektroniczną na minimum 10 dni roboczych przed wprowadzeniem ich w życie.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Grantodawca jest zobowiązany poinformować gminę o akceptacji proponowanych zmian lub o braku akceptacji w terminie 5 dni ro</w:t>
      </w:r>
      <w:r>
        <w:rPr>
          <w:rFonts w:asciiTheme="minorHAnsi" w:eastAsia="Times New Roman" w:hAnsiTheme="minorHAnsi" w:cs="Arial"/>
          <w:lang w:eastAsia="pl-PL"/>
        </w:rPr>
        <w:t>boczych od otrzymania wniosku o </w:t>
      </w:r>
      <w:r w:rsidRPr="00A96E5F">
        <w:rPr>
          <w:rFonts w:asciiTheme="minorHAnsi" w:eastAsia="Times New Roman" w:hAnsiTheme="minorHAnsi" w:cs="Arial"/>
          <w:lang w:eastAsia="pl-PL"/>
        </w:rPr>
        <w:t>dokonanie zmian.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dotyczące zakresu działań wskazanych w Indywidualnym Planie Konsultacji, które prowadzą do przesunięć między poszczególnymi kategoriami wydatków nie wymagają podpisywania aneksu do umowy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dotyczące obniżenia lub zwiększenia wartości dotacji wymagają podpisania aneksu do umowy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przeznaczenia grantów nie mogą dotyczyć:</w:t>
      </w:r>
    </w:p>
    <w:p w:rsidR="00FE4F15" w:rsidRPr="00A96E5F" w:rsidRDefault="00FE4F15" w:rsidP="00FE4F15">
      <w:pPr>
        <w:pStyle w:val="Akapitzlist"/>
        <w:numPr>
          <w:ilvl w:val="2"/>
          <w:numId w:val="13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wykorzystania mniej niż trzech różnych technik konsultacji społecznych,</w:t>
      </w:r>
    </w:p>
    <w:p w:rsidR="00FE4F15" w:rsidRPr="00A96E5F" w:rsidRDefault="00FE4F15" w:rsidP="00FE4F15">
      <w:pPr>
        <w:pStyle w:val="Akapitzlist"/>
        <w:numPr>
          <w:ilvl w:val="2"/>
          <w:numId w:val="13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rezygnacji w zastosowania w procesie konsultacji co najmniej jednego narzędzia internetowego,</w:t>
      </w:r>
    </w:p>
    <w:p w:rsidR="00FE4F15" w:rsidRPr="0004742E" w:rsidRDefault="00FE4F15" w:rsidP="00FE4F15">
      <w:pPr>
        <w:pStyle w:val="Akapitzlist"/>
        <w:numPr>
          <w:ilvl w:val="2"/>
          <w:numId w:val="13"/>
        </w:numPr>
        <w:spacing w:after="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skrócenia okresu monitoringu wskaźnika rezultatu  projektu: </w:t>
      </w:r>
      <w:r w:rsidRPr="00A96E5F">
        <w:rPr>
          <w:rStyle w:val="fontstyle01"/>
          <w:rFonts w:asciiTheme="minorHAnsi" w:hAnsiTheme="minorHAnsi"/>
          <w:i/>
        </w:rPr>
        <w:t>Liczba JST, które przedłożyły do zatwierdzenia dokumenty dotyczące planowania przestrzennego wypracowane wspólnie z NGO do końca 2023 r.</w:t>
      </w:r>
    </w:p>
    <w:p w:rsidR="00FE4F15" w:rsidRPr="0004742E" w:rsidRDefault="00FE4F15" w:rsidP="00FE4F15">
      <w:pPr>
        <w:spacing w:after="120"/>
        <w:jc w:val="both"/>
        <w:rPr>
          <w:rStyle w:val="fontstyle01"/>
          <w:rFonts w:asciiTheme="minorHAnsi" w:hAnsiTheme="minorHAnsi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Rozliczanie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celu rozliczenia grantu/transzy grantu gminy przedstawiają sprawozdania częściowe i końcowe </w:t>
      </w:r>
      <w:r w:rsidRPr="00A96E5F">
        <w:rPr>
          <w:rFonts w:asciiTheme="minorHAnsi" w:hAnsiTheme="minorHAnsi"/>
          <w:lang w:eastAsia="pl-PL"/>
        </w:rPr>
        <w:t>z przeprowadzonych działań finansowanych z otrzymanych środków.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W IPK określone będą wymogi ilościowe i jakościowe wobec realizowanych zadań/prowadzonych technik konsultacji, których spełnienie umożliwi rozliczenie grantu. Dlatego s</w:t>
      </w:r>
      <w:r w:rsidRPr="00A96E5F">
        <w:rPr>
          <w:rFonts w:asciiTheme="minorHAnsi" w:hAnsiTheme="minorHAnsi"/>
          <w:lang w:eastAsia="pl-PL"/>
        </w:rPr>
        <w:t>prawozdania będą w szczególności informować o przeprowadzonych działaniach i osiągniętych dzięki nim rezultatach ilościowych i jakościowych zaplanowanych w Indywidualnym Planie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Sprawozdanie z przeprowadzonych działań gminy sporządzają na wzorze przekazanym przez 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rantodawcę i przekazują je w terminie:</w:t>
      </w:r>
    </w:p>
    <w:p w:rsidR="00FE4F15" w:rsidRPr="00A96E5F" w:rsidRDefault="00FE4F15" w:rsidP="00FE4F15">
      <w:pPr>
        <w:pStyle w:val="Akapitzlist"/>
        <w:numPr>
          <w:ilvl w:val="2"/>
          <w:numId w:val="14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sprawozdania częściowe – obejmujące okres maksymalnie 3 miesięcy realizacji Indywidualnego Planu Konsultacji, składane w terminach określonych </w:t>
      </w:r>
      <w:r w:rsidRPr="00A96E5F">
        <w:rPr>
          <w:rStyle w:val="fontstyle01"/>
          <w:rFonts w:asciiTheme="minorHAnsi" w:hAnsiTheme="minorHAnsi"/>
        </w:rPr>
        <w:br/>
        <w:t>w harmonogramie rzeczowo-finansowym,</w:t>
      </w:r>
    </w:p>
    <w:p w:rsidR="00FE4F15" w:rsidRPr="00A96E5F" w:rsidRDefault="00FE4F15" w:rsidP="00FE4F15">
      <w:pPr>
        <w:pStyle w:val="Akapitzlist"/>
        <w:numPr>
          <w:ilvl w:val="2"/>
          <w:numId w:val="14"/>
        </w:numPr>
        <w:spacing w:after="12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sprawozdania końcowe – do 15 dni roboczych od zakończenia realizacji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 są rozliczane na dwóch etapach:</w:t>
      </w:r>
    </w:p>
    <w:p w:rsidR="00FE4F15" w:rsidRPr="00A96E5F" w:rsidRDefault="00FE4F15" w:rsidP="00FE4F15">
      <w:pPr>
        <w:pStyle w:val="Akapitzlist"/>
        <w:numPr>
          <w:ilvl w:val="2"/>
          <w:numId w:val="8"/>
        </w:numPr>
        <w:spacing w:after="120"/>
        <w:ind w:left="1418" w:hanging="284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podczas bieżącej realizacji projektu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asciiTheme="minorHAnsi" w:eastAsia="Times New Roman" w:hAnsiTheme="minorHAnsi" w:cs="Arial"/>
          <w:lang w:eastAsia="pl-PL"/>
        </w:rPr>
        <w:t xml:space="preserve"> – na podstawie zrealizowanych etapów lub całości działań wynikających z Indywidualnego Planu Konsultacji;</w:t>
      </w:r>
    </w:p>
    <w:p w:rsidR="00FE4F15" w:rsidRPr="00A96E5F" w:rsidRDefault="00FE4F15" w:rsidP="00FE4F15">
      <w:pPr>
        <w:pStyle w:val="Akapitzlist"/>
        <w:numPr>
          <w:ilvl w:val="2"/>
          <w:numId w:val="8"/>
        </w:numPr>
        <w:spacing w:after="120"/>
        <w:ind w:left="1418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 zakończenie projektu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asciiTheme="minorHAnsi" w:eastAsia="Times New Roman" w:hAnsiTheme="minorHAnsi" w:cs="Arial"/>
          <w:lang w:eastAsia="pl-PL"/>
        </w:rPr>
        <w:t xml:space="preserve"> w zakresie wyznaczonym przez </w:t>
      </w:r>
      <w:r w:rsidRPr="00A96E5F">
        <w:rPr>
          <w:rFonts w:asciiTheme="minorHAnsi" w:hAnsiTheme="minorHAnsi"/>
          <w:lang w:eastAsia="pl-PL"/>
        </w:rPr>
        <w:t>umowę grantową</w:t>
      </w:r>
      <w:r w:rsidRPr="00A96E5F">
        <w:rPr>
          <w:rFonts w:asciiTheme="minorHAnsi" w:eastAsia="Times New Roman" w:hAnsiTheme="minorHAnsi" w:cs="Arial"/>
          <w:lang w:eastAsia="pl-PL"/>
        </w:rPr>
        <w:t xml:space="preserve"> – poprzez weryfikację, czy gmina zrealizowała pełen etap lub ewentualnie </w:t>
      </w:r>
      <w:r w:rsidRPr="00A96E5F">
        <w:rPr>
          <w:rFonts w:asciiTheme="minorHAnsi" w:eastAsia="Times New Roman" w:hAnsiTheme="minorHAnsi" w:cs="Arial"/>
          <w:lang w:eastAsia="pl-PL"/>
        </w:rPr>
        <w:lastRenderedPageBreak/>
        <w:t>dwa pełne etapy konsultacji, do których zobowiązała się w umowie na wsparcie merytoryczne i opracowanie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celu rozliczenia grantu gminy nie przedstawiają dokumentów księgowych 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rantodawcy.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są zobowiązane wykorzystać grant zgodnie z prze</w:t>
      </w:r>
      <w:r>
        <w:rPr>
          <w:rFonts w:asciiTheme="minorHAnsi" w:eastAsia="Times New Roman" w:hAnsiTheme="minorHAnsi" w:cs="Arial"/>
          <w:lang w:eastAsia="pl-PL"/>
        </w:rPr>
        <w:t>pisami obowiązującego je prawa,</w:t>
      </w:r>
      <w:r w:rsidRPr="00A96E5F">
        <w:rPr>
          <w:rFonts w:asciiTheme="minorHAnsi" w:eastAsia="Times New Roman" w:hAnsiTheme="minorHAnsi" w:cs="Arial"/>
          <w:lang w:eastAsia="pl-PL"/>
        </w:rPr>
        <w:t xml:space="preserve"> w sposób oszczędny, w okresie realizacji projektu Przestrzeń do rozmowy – rozbudowany system konsultacji społecznych w plano</w:t>
      </w:r>
      <w:r>
        <w:rPr>
          <w:rFonts w:asciiTheme="minorHAnsi" w:eastAsia="Times New Roman" w:hAnsiTheme="minorHAnsi" w:cs="Arial"/>
          <w:lang w:eastAsia="pl-PL"/>
        </w:rPr>
        <w:t>waniu przestrzennym i zgodnie z </w:t>
      </w:r>
      <w:r w:rsidRPr="00A96E5F">
        <w:rPr>
          <w:rFonts w:asciiTheme="minorHAnsi" w:eastAsia="Times New Roman" w:hAnsiTheme="minorHAnsi" w:cs="Arial"/>
          <w:lang w:eastAsia="pl-PL"/>
        </w:rPr>
        <w:t>jego celami.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nie są zobowiązane przy ponoszeniu wydatków z grantu do stosowania Wytycznych w zakresie kwalifikowalności wydatków w ramach Europejskiego Funduszu Rozwoju Regionalnego, Europejskiego Funduszu Społecznego oraz Funduszu Spójności na lata 2014 – 2020.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razie niezrealizowania działania wynikającego z Indywidualnego Planu Konsultacji gmina zwraca część grantu przeznaczoną na to działanie po uzgodnieniu tego z 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rantodawcą i wprowadzeniu zmian w IPK, przy założeniu, że każda gmina musi zrealizować minimum 3 techniki, w tym jedną internetową.</w:t>
      </w:r>
    </w:p>
    <w:p w:rsidR="00FE4F15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są zobowiązane do oznaczania miejsc realizacji działań finansowanych z grantów i wynikających z indywidualnych planów konsultacji odpowiednimi materiałami informacyjnymi udostępnionymi przez organizacje wspierające.</w:t>
      </w:r>
    </w:p>
    <w:p w:rsidR="00FE4F15" w:rsidRPr="00A96E5F" w:rsidRDefault="00FE4F15" w:rsidP="00FE4F15">
      <w:pPr>
        <w:pStyle w:val="Akapitzlist"/>
        <w:spacing w:after="0"/>
        <w:ind w:left="113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Monitorowanie i kontrola grantów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są zobowiązane do współpracy z </w:t>
      </w:r>
      <w:r>
        <w:rPr>
          <w:rFonts w:asciiTheme="minorHAnsi" w:eastAsia="Times New Roman" w:hAnsiTheme="minorHAnsi" w:cs="Arial"/>
          <w:lang w:eastAsia="pl-PL"/>
        </w:rPr>
        <w:t>Partnerstwem</w:t>
      </w:r>
      <w:r w:rsidRPr="00A96E5F">
        <w:rPr>
          <w:rFonts w:asciiTheme="minorHAnsi" w:eastAsia="Times New Roman" w:hAnsiTheme="minorHAnsi" w:cs="Arial"/>
          <w:lang w:eastAsia="pl-PL"/>
        </w:rPr>
        <w:t xml:space="preserve"> oraz innymi instytucjami do tego uprawnionymi w zakresie monitoringu, kontroli i ewaluacji prowadzonych działań oraz osiągania założonych w projekcie rezultatów zarówno w czasie trwania projektu, jak i po jego zakończeniu tj. do końca roku 2023, zwłaszcza w zakresie przedkładania do zatwierdzenia radzie gmin dokumentów planistycznych, wypracowanych w ramach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Szczegółowy zakres prowadzonego monitoringu będzie określała każdorazowo umowa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Podstawową formą monitoringu będzie analiza prowadzonych przez gminy procesów konsultacji poprzez weryfikację sprawozdań przesyłanych przez gminy, terminowości dostarczania przez gminę dokumentów (IPK, sprawozdań), zgodności realizacji działań zaplanowanych w ramach IPK z harmonogramem (monitoring mediów, maile, telefony) oraz opinii opiekuna gminy.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Stałym elementem monitoringu będą wizyty monitoringowe, organizowane co najmniej raz w okresie wdrażania pogłębionego procesu konsultacji w gminie oraz co najmniej raz po zakończeniu realizacji projektu do końca roku 2023 - chyba że gmina wcześniej osiągnie wskaźnik rezultatu </w:t>
      </w:r>
      <w:r w:rsidRPr="00A96E5F">
        <w:rPr>
          <w:rFonts w:asciiTheme="minorHAnsi" w:eastAsia="Times New Roman" w:hAnsiTheme="minorHAnsi" w:cs="Arial"/>
          <w:i/>
          <w:lang w:eastAsia="pl-PL"/>
        </w:rPr>
        <w:t xml:space="preserve">Liczba jednostek terytorialnego, które przedłożyły do </w:t>
      </w:r>
      <w:r w:rsidRPr="00A96E5F">
        <w:rPr>
          <w:rFonts w:asciiTheme="minorHAnsi" w:eastAsia="Times New Roman" w:hAnsiTheme="minorHAnsi" w:cs="Arial"/>
          <w:i/>
          <w:lang w:eastAsia="pl-PL"/>
        </w:rPr>
        <w:lastRenderedPageBreak/>
        <w:t>samorządu zatwierdzenia dokumenty dotyczące planowania przestrzennego wypracowane wspólnie z NGO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zostanie poinformowana pisemnie oraz telefonicznie o planowanej wizycie monitoringowej na co najmniej 10 dni roboczych przed planowaną wizytą i jest zobligowana do wskazania osoby/osób, które będą wstanie udzielić zespołowi monitoringowemu informacji dotyczących przebiegu procesu pogłębionych konsultacji społecznych dokumentów planistycznych oraz przedstawić dokumenty potwierdzające ten proces.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wyjątkowych sytuacjach, m.in. problemów ze realizowaniem pełnego etapu konsultacji, brakiem kontaktu ze strony gminy z jej opiekunem istnieje możliwość przeprowadzenia dodatkowych wizyt monitoringowych o których gmina zostanie poinformowana pisemnie i telefonicznie na co najmniej 10 dni przed planowanym spotkaniem.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1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 każdej wizyty monitoringowej zostanie sporządzony raport oceniający postępy prac, weryfikujący realizację założonych rezultatów i ewentualne zalecenie dla gminy w celu usprawnienia działań związanych z realizacją Indywidualnych Planów Konsultacji, który zostanie przesłany do wiadomości gminy w wersji elektronicznej.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91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ma prawo odnieść się pisemnie do przedstawionego raportu i ewentualnie wnieść dodatkowe uwagi i uzupełnienia do przedstawionego dokumentu.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Odzyskiwanie grantów w przypadku ich wykorzystania niezgodnie z celami projektu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związku z ciążącą na </w:t>
      </w:r>
      <w:r>
        <w:rPr>
          <w:rFonts w:asciiTheme="minorHAnsi" w:eastAsia="Times New Roman" w:hAnsiTheme="minorHAnsi" w:cs="Arial"/>
          <w:lang w:eastAsia="pl-PL"/>
        </w:rPr>
        <w:t>Partnerstwie</w:t>
      </w:r>
      <w:r w:rsidRPr="00A96E5F">
        <w:rPr>
          <w:rFonts w:asciiTheme="minorHAnsi" w:eastAsia="Times New Roman" w:hAnsiTheme="minorHAnsi" w:cs="Arial"/>
          <w:lang w:eastAsia="pl-PL"/>
        </w:rPr>
        <w:t xml:space="preserve"> odpowiedzialnością za </w:t>
      </w:r>
      <w:r>
        <w:rPr>
          <w:rFonts w:asciiTheme="minorHAnsi" w:hAnsiTheme="minorHAnsi"/>
        </w:rPr>
        <w:t>prawidłowe wykorzystanie i </w:t>
      </w:r>
      <w:r w:rsidRPr="00A96E5F">
        <w:rPr>
          <w:rFonts w:asciiTheme="minorHAnsi" w:hAnsiTheme="minorHAnsi"/>
        </w:rPr>
        <w:t>rozliczenie grantów</w:t>
      </w:r>
      <w:r w:rsidRPr="00A96E5F">
        <w:rPr>
          <w:rFonts w:asciiTheme="minorHAnsi" w:eastAsia="Times New Roman" w:hAnsiTheme="minorHAnsi" w:cs="Arial"/>
          <w:lang w:eastAsia="pl-PL"/>
        </w:rPr>
        <w:t xml:space="preserve"> w przypadku wykorzystania przez Grantobiorcę grantu niezgodnie z celami projektu grantowego lub umowy powierzenia grantu jest on zobowiązany do zwrotu całości lub części grantu, które dotyczy nieprawidłowość.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Przez wydatkowanie grantu niezgodnie z przeznaczenie rozumie się inne cele niż wsparcie procesu pogłębionych konsultacji społecznych dokumentów planistycznych w oparciu o Indywidualny Plan Konsultacji i jego ewentualne aktualizacje.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Grantobiorca, który wykorzystał grant lub jego część niezgodnie z przeznaczeniem jest zobowiązany zwrócić należne zobowiązania w terminie 14 dni roboczych od otrzymania wezwanie na konto bankowe wskazane w niniejszym wezwaniu.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color w:val="000000"/>
        </w:rPr>
        <w:t xml:space="preserve">Grantodawcy </w:t>
      </w:r>
      <w:r w:rsidRPr="00A96E5F">
        <w:rPr>
          <w:rFonts w:asciiTheme="minorHAnsi" w:hAnsiTheme="minorHAnsi"/>
        </w:rPr>
        <w:t xml:space="preserve">mają możliwość </w:t>
      </w:r>
      <w:r w:rsidRPr="00A96E5F">
        <w:rPr>
          <w:rFonts w:asciiTheme="minorHAnsi" w:eastAsia="Times New Roman" w:hAnsiTheme="minorHAnsi" w:cs="Arial"/>
          <w:lang w:eastAsia="pl-PL"/>
        </w:rPr>
        <w:t>wprowadzania</w:t>
      </w:r>
      <w:r w:rsidRPr="00A96E5F">
        <w:rPr>
          <w:rFonts w:asciiTheme="minorHAnsi" w:hAnsiTheme="minorHAnsi"/>
        </w:rPr>
        <w:t xml:space="preserve"> zmian do niniejszego regulaminu, a także do interpretowania zawartych w nim zapisów.</w:t>
      </w:r>
    </w:p>
    <w:p w:rsidR="00BF05B6" w:rsidRPr="00FE4F15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 xml:space="preserve">Zmiany i interpretacje będą publikowane na stronie internetowej </w:t>
      </w:r>
      <w:r>
        <w:rPr>
          <w:rFonts w:asciiTheme="minorHAnsi" w:hAnsiTheme="minorHAnsi"/>
        </w:rPr>
        <w:t>Grantodawcy</w:t>
      </w:r>
      <w:r w:rsidRPr="00A96E5F">
        <w:rPr>
          <w:rFonts w:asciiTheme="minorHAnsi" w:hAnsiTheme="minorHAnsi"/>
        </w:rPr>
        <w:t>. Gminy, które rozpoczną procedurę rekrutacji przed wprowadzeniem zmian zostaną poinformowane o nich bezpośrednio.</w:t>
      </w:r>
      <w:bookmarkStart w:id="0" w:name="_GoBack"/>
      <w:bookmarkEnd w:id="0"/>
    </w:p>
    <w:sectPr w:rsidR="00BF05B6" w:rsidRPr="00FE4F15" w:rsidSect="00EC27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48" w:rsidRDefault="00FE4F15" w:rsidP="004F7A48">
    <w:pPr>
      <w:pStyle w:val="Stopka"/>
      <w:spacing w:before="120"/>
    </w:pPr>
    <w:r>
      <w:rPr>
        <w:noProof/>
        <w:lang w:eastAsia="pl-PL"/>
      </w:rPr>
      <w:drawing>
        <wp:inline distT="0" distB="0" distL="0" distR="0" wp14:anchorId="4F8A0899" wp14:editId="7D78C6F2">
          <wp:extent cx="5760720" cy="739775"/>
          <wp:effectExtent l="0" t="0" r="0" b="3175"/>
          <wp:docPr id="1" name="Obraz 1" descr="C:\Users\Janusz\Desktop\2.19\Logotypy\FE_POWER_barwy_RP_EFS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2.19\Logotypy\FE_POWER_barwy_RP_EFS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FC6"/>
    <w:multiLevelType w:val="multilevel"/>
    <w:tmpl w:val="89A60E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57344B"/>
    <w:multiLevelType w:val="multilevel"/>
    <w:tmpl w:val="C67E61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D755C0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B82496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6585944"/>
    <w:multiLevelType w:val="multilevel"/>
    <w:tmpl w:val="FD5684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782F1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98242D5"/>
    <w:multiLevelType w:val="hybridMultilevel"/>
    <w:tmpl w:val="4D785206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623"/>
    <w:multiLevelType w:val="multilevel"/>
    <w:tmpl w:val="B8647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16A3FFD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0E17DD9"/>
    <w:multiLevelType w:val="multilevel"/>
    <w:tmpl w:val="82D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E47CCD"/>
    <w:multiLevelType w:val="hybridMultilevel"/>
    <w:tmpl w:val="3754F3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B481B23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D833C7"/>
    <w:multiLevelType w:val="multilevel"/>
    <w:tmpl w:val="C5CCA6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B967A7E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775E4D"/>
    <w:multiLevelType w:val="multilevel"/>
    <w:tmpl w:val="5B3208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5"/>
    <w:rsid w:val="00BF05B6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4F15"/>
    <w:rPr>
      <w:vertAlign w:val="superscript"/>
    </w:rPr>
  </w:style>
  <w:style w:type="character" w:customStyle="1" w:styleId="fontstyle01">
    <w:name w:val="fontstyle01"/>
    <w:rsid w:val="00FE4F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4F15"/>
    <w:rPr>
      <w:vertAlign w:val="superscript"/>
    </w:rPr>
  </w:style>
  <w:style w:type="character" w:customStyle="1" w:styleId="fontstyle01">
    <w:name w:val="fontstyle01"/>
    <w:rsid w:val="00FE4F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3405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2022-08-01T09:43:00Z</dcterms:created>
  <dcterms:modified xsi:type="dcterms:W3CDTF">2022-08-01T09:43:00Z</dcterms:modified>
</cp:coreProperties>
</file>